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45"/>
        <w:tblGridChange w:id="0">
          <w:tblGrid>
            <w:gridCol w:w="9045"/>
          </w:tblGrid>
        </w:tblGridChange>
      </w:tblGrid>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02">
            <w:pPr>
              <w:spacing w:after="240" w:before="240" w:line="256" w:lineRule="auto"/>
              <w:ind w:left="440" w:firstLine="0"/>
              <w:rPr>
                <w:b w:val="1"/>
              </w:rPr>
            </w:pPr>
            <w:r w:rsidDel="00000000" w:rsidR="00000000" w:rsidRPr="00000000">
              <w:rPr>
                <w:b w:val="1"/>
                <w:rtl w:val="0"/>
              </w:rPr>
              <w:t xml:space="preserve">A. VSTUPNÍ </w:t>
            </w:r>
            <w:r w:rsidDel="00000000" w:rsidR="00000000" w:rsidRPr="00000000">
              <w:rPr>
                <w:b w:val="1"/>
                <w:rtl w:val="0"/>
              </w:rPr>
              <w:t xml:space="preserve">ČÁST</w:t>
            </w:r>
            <w:r w:rsidDel="00000000" w:rsidR="00000000" w:rsidRPr="00000000">
              <w:rPr>
                <w:rtl w:val="0"/>
              </w:rPr>
            </w:r>
          </w:p>
        </w:tc>
      </w:tr>
      <w:tr>
        <w:trPr>
          <w:cantSplit w:val="0"/>
          <w:trHeight w:val="31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03">
            <w:pPr>
              <w:spacing w:after="240" w:before="240" w:line="256" w:lineRule="auto"/>
              <w:rPr>
                <w:b w:val="1"/>
              </w:rPr>
            </w:pPr>
            <w:r w:rsidDel="00000000" w:rsidR="00000000" w:rsidRPr="00000000">
              <w:rPr>
                <w:b w:val="1"/>
                <w:rtl w:val="0"/>
              </w:rPr>
              <w:t xml:space="preserve">Název: Algebra a analýza</w:t>
            </w:r>
          </w:p>
        </w:tc>
      </w:tr>
      <w:tr>
        <w:trPr>
          <w:cantSplit w:val="0"/>
          <w:trHeight w:val="31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04">
            <w:pPr>
              <w:spacing w:after="240" w:before="240" w:line="256" w:lineRule="auto"/>
              <w:rPr/>
            </w:pPr>
            <w:r w:rsidDel="00000000" w:rsidR="00000000" w:rsidRPr="00000000">
              <w:rPr>
                <w:b w:val="1"/>
                <w:rtl w:val="0"/>
              </w:rPr>
              <w:t xml:space="preserve">Kód: </w:t>
            </w:r>
            <w:r w:rsidDel="00000000" w:rsidR="00000000" w:rsidRPr="00000000">
              <w:rPr>
                <w:rtl w:val="0"/>
              </w:rPr>
              <w:t xml:space="preserve">zatím nevyplňujte</w:t>
            </w:r>
          </w:p>
        </w:tc>
      </w:tr>
      <w:tr>
        <w:trPr>
          <w:cantSplit w:val="0"/>
          <w:trHeight w:val="31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05">
            <w:pPr>
              <w:spacing w:after="240" w:before="240" w:line="256" w:lineRule="auto"/>
              <w:rPr/>
            </w:pPr>
            <w:r w:rsidDel="00000000" w:rsidR="00000000" w:rsidRPr="00000000">
              <w:rPr>
                <w:b w:val="1"/>
                <w:rtl w:val="0"/>
              </w:rPr>
              <w:t xml:space="preserve">Kategorie vzdělání: </w:t>
            </w:r>
            <w:r w:rsidDel="00000000" w:rsidR="00000000" w:rsidRPr="00000000">
              <w:rPr>
                <w:rtl w:val="0"/>
              </w:rPr>
              <w:t xml:space="preserve">78-42-M/08</w:t>
            </w:r>
          </w:p>
        </w:tc>
      </w:tr>
      <w:tr>
        <w:trPr>
          <w:cantSplit w:val="0"/>
          <w:trHeight w:val="31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06">
            <w:pPr>
              <w:spacing w:after="240" w:before="240" w:line="256" w:lineRule="auto"/>
              <w:rPr/>
            </w:pPr>
            <w:r w:rsidDel="00000000" w:rsidR="00000000" w:rsidRPr="00000000">
              <w:rPr>
                <w:b w:val="1"/>
                <w:rtl w:val="0"/>
              </w:rPr>
              <w:t xml:space="preserve">Typ vyučovací jednotky: </w:t>
            </w:r>
            <w:r w:rsidDel="00000000" w:rsidR="00000000" w:rsidRPr="00000000">
              <w:rPr>
                <w:rtl w:val="0"/>
              </w:rPr>
              <w:t xml:space="preserve">předmět</w:t>
            </w:r>
          </w:p>
        </w:tc>
      </w:tr>
      <w:tr>
        <w:trPr>
          <w:cantSplit w:val="0"/>
          <w:trHeight w:val="31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07">
            <w:pPr>
              <w:spacing w:after="240" w:before="240" w:line="256" w:lineRule="auto"/>
              <w:rPr/>
            </w:pPr>
            <w:r w:rsidDel="00000000" w:rsidR="00000000" w:rsidRPr="00000000">
              <w:rPr>
                <w:b w:val="1"/>
                <w:rtl w:val="0"/>
              </w:rPr>
              <w:t xml:space="preserve">Délka: </w:t>
            </w:r>
            <w:r w:rsidDel="00000000" w:rsidR="00000000" w:rsidRPr="00000000">
              <w:rPr>
                <w:rtl w:val="0"/>
              </w:rPr>
              <w:t xml:space="preserve">124</w:t>
            </w:r>
          </w:p>
        </w:tc>
      </w:tr>
      <w:tr>
        <w:trPr>
          <w:cantSplit w:val="0"/>
          <w:trHeight w:val="31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08">
            <w:pPr>
              <w:spacing w:after="240" w:before="240" w:line="256" w:lineRule="auto"/>
              <w:rPr/>
            </w:pPr>
            <w:r w:rsidDel="00000000" w:rsidR="00000000" w:rsidRPr="00000000">
              <w:rPr>
                <w:b w:val="1"/>
                <w:rtl w:val="0"/>
              </w:rPr>
              <w:t xml:space="preserve">Platnost: </w:t>
            </w:r>
            <w:r w:rsidDel="00000000" w:rsidR="00000000" w:rsidRPr="00000000">
              <w:rPr>
                <w:rtl w:val="0"/>
              </w:rPr>
              <w:t xml:space="preserve">od 1. 9. 2025</w:t>
            </w:r>
          </w:p>
        </w:tc>
      </w:tr>
      <w:tr>
        <w:trPr>
          <w:cantSplit w:val="0"/>
          <w:trHeight w:val="1590" w:hRule="atLeast"/>
          <w:tblHeader w:val="0"/>
        </w:trPr>
        <w:tc>
          <w:tcPr>
            <w:tcBorders>
              <w:top w:color="000000" w:space="0" w:sz="0" w:val="nil"/>
              <w:left w:color="000000" w:space="0" w:sz="5" w:val="single"/>
              <w:bottom w:color="000000" w:space="0" w:sz="5" w:val="single"/>
              <w:right w:color="000000" w:space="0" w:sz="5" w:val="single"/>
            </w:tcBorders>
            <w:shd w:fill="ffffff" w:val="clear"/>
            <w:tcMar>
              <w:top w:w="0.0" w:type="dxa"/>
              <w:left w:w="100.0" w:type="dxa"/>
              <w:bottom w:w="0.0" w:type="dxa"/>
              <w:right w:w="100.0" w:type="dxa"/>
            </w:tcMar>
          </w:tcPr>
          <w:p w:rsidR="00000000" w:rsidDel="00000000" w:rsidP="00000000" w:rsidRDefault="00000000" w:rsidRPr="00000000" w14:paraId="00000009">
            <w:pPr>
              <w:spacing w:after="240" w:before="240" w:line="256" w:lineRule="auto"/>
              <w:rPr>
                <w:b w:val="1"/>
              </w:rPr>
            </w:pPr>
            <w:r w:rsidDel="00000000" w:rsidR="00000000" w:rsidRPr="00000000">
              <w:rPr>
                <w:b w:val="1"/>
                <w:rtl w:val="0"/>
              </w:rPr>
              <w:t xml:space="preserve">Vstupní předpoklady: </w:t>
            </w:r>
          </w:p>
          <w:p w:rsidR="00000000" w:rsidDel="00000000" w:rsidP="00000000" w:rsidRDefault="00000000" w:rsidRPr="00000000" w14:paraId="0000000A">
            <w:pPr>
              <w:spacing w:after="240" w:before="240" w:line="256" w:lineRule="auto"/>
              <w:ind w:left="440" w:firstLine="0"/>
              <w:rPr/>
            </w:pPr>
            <w:r w:rsidDel="00000000" w:rsidR="00000000" w:rsidRPr="00000000">
              <w:rPr>
                <w:rtl w:val="0"/>
              </w:rPr>
              <w:t xml:space="preserve">Předpokládané znalosti předmětné problematiky dle RVP ZV,</w:t>
              <w:br w:type="textWrapping"/>
              <w:t xml:space="preserve">navazuje na OVU 1. a 2. ročníku předmětu Matematika</w:t>
              <w:br w:type="textWrapping"/>
            </w:r>
          </w:p>
        </w:tc>
      </w:tr>
    </w:tbl>
    <w:p w:rsidR="00000000" w:rsidDel="00000000" w:rsidP="00000000" w:rsidRDefault="00000000" w:rsidRPr="00000000" w14:paraId="0000000B">
      <w:pPr>
        <w:spacing w:after="240" w:before="240" w:line="256" w:lineRule="auto"/>
        <w:ind w:left="440" w:firstLine="0"/>
        <w:rPr>
          <w:b w:val="1"/>
        </w:rPr>
      </w:pPr>
      <w:r w:rsidDel="00000000" w:rsidR="00000000" w:rsidRPr="00000000">
        <w:rPr>
          <w:sz w:val="28"/>
          <w:szCs w:val="28"/>
          <w:rtl w:val="0"/>
        </w:rPr>
        <w:t xml:space="preserve"> </w:t>
      </w:r>
      <w:r w:rsidDel="00000000" w:rsidR="00000000" w:rsidRPr="00000000">
        <w:rPr>
          <w:rtl w:val="0"/>
        </w:rPr>
      </w:r>
    </w:p>
    <w:tbl>
      <w:tblPr>
        <w:tblStyle w:val="Table2"/>
        <w:tblW w:w="90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60"/>
        <w:tblGridChange w:id="0">
          <w:tblGrid>
            <w:gridCol w:w="9060"/>
          </w:tblGrid>
        </w:tblGridChange>
      </w:tblGrid>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00.0" w:type="dxa"/>
              <w:bottom w:w="0.0" w:type="dxa"/>
              <w:right w:w="100.0" w:type="dxa"/>
            </w:tcMar>
          </w:tcPr>
          <w:p w:rsidR="00000000" w:rsidDel="00000000" w:rsidP="00000000" w:rsidRDefault="00000000" w:rsidRPr="00000000" w14:paraId="0000000C">
            <w:pPr>
              <w:spacing w:after="240" w:before="240" w:line="256" w:lineRule="auto"/>
              <w:ind w:left="440" w:firstLine="0"/>
              <w:rPr>
                <w:b w:val="1"/>
              </w:rPr>
            </w:pPr>
            <w:r w:rsidDel="00000000" w:rsidR="00000000" w:rsidRPr="00000000">
              <w:rPr>
                <w:b w:val="1"/>
                <w:rtl w:val="0"/>
              </w:rPr>
              <w:t xml:space="preserve">B. JÁDRO VYUČOVACÍ JEDNOTKY </w:t>
            </w:r>
          </w:p>
        </w:tc>
      </w:tr>
      <w:tr>
        <w:trPr>
          <w:cantSplit w:val="0"/>
          <w:tblHeader w:val="0"/>
        </w:trPr>
        <w:tc>
          <w:tcPr>
            <w:tcBorders>
              <w:top w:color="000000" w:space="0" w:sz="4" w:val="single"/>
              <w:left w:color="000000" w:space="0" w:sz="5" w:val="single"/>
              <w:bottom w:color="000000" w:space="0" w:sz="5" w:val="single"/>
              <w:right w:color="000000" w:space="0" w:sz="5" w:val="single"/>
            </w:tcBorders>
            <w:shd w:fill="ffffff" w:val="clear"/>
            <w:tcMar>
              <w:top w:w="0.0" w:type="dxa"/>
              <w:left w:w="100.0" w:type="dxa"/>
              <w:bottom w:w="0.0" w:type="dxa"/>
              <w:right w:w="100.0" w:type="dxa"/>
            </w:tcM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240" w:before="240" w:line="256" w:lineRule="auto"/>
              <w:rPr>
                <w:b w:val="1"/>
              </w:rPr>
            </w:pPr>
            <w:r w:rsidDel="00000000" w:rsidR="00000000" w:rsidRPr="00000000">
              <w:rPr>
                <w:b w:val="1"/>
                <w:color w:val="000000"/>
                <w:rtl w:val="0"/>
              </w:rPr>
              <w:t xml:space="preserve">Charakteristika: </w:t>
            </w:r>
            <w:r w:rsidDel="00000000" w:rsidR="00000000" w:rsidRPr="00000000">
              <w:rPr>
                <w:rtl w:val="0"/>
              </w:rPr>
            </w:r>
          </w:p>
          <w:p w:rsidR="00000000" w:rsidDel="00000000" w:rsidP="00000000" w:rsidRDefault="00000000" w:rsidRPr="00000000" w14:paraId="0000000E">
            <w:pPr>
              <w:spacing w:after="240" w:before="240" w:line="257" w:lineRule="auto"/>
              <w:ind w:left="284" w:firstLine="0"/>
              <w:rPr/>
            </w:pPr>
            <w:r w:rsidDel="00000000" w:rsidR="00000000" w:rsidRPr="00000000">
              <w:rPr>
                <w:rtl w:val="0"/>
              </w:rPr>
              <w:t xml:space="preserve">Lineární algebra je jedním ze základních kamenů matematického vzdělání moderního inženýra, neboť se zabývá jak konkrétními výpočetními postupy, tak abstraktními pojmy, jejichž zvládnutí je užitečné pro popis technických problémů. Kdo zvládne základní pojmy tak, že bude vědět, jak spolu souvisí, jaký mají význam pro počítání a pro formulaci technických problémů, pro toho bude mnohem snadnější nejen další studium, ale i sledování rozvoje zvoleného oboru. </w:t>
            </w:r>
          </w:p>
          <w:p w:rsidR="00000000" w:rsidDel="00000000" w:rsidP="00000000" w:rsidRDefault="00000000" w:rsidRPr="00000000" w14:paraId="0000000F">
            <w:pPr>
              <w:spacing w:after="240" w:before="240" w:line="257" w:lineRule="auto"/>
              <w:ind w:left="284" w:firstLine="0"/>
              <w:rPr/>
            </w:pPr>
            <w:r w:rsidDel="00000000" w:rsidR="00000000" w:rsidRPr="00000000">
              <w:rPr>
                <w:rtl w:val="0"/>
              </w:rPr>
              <w:t xml:space="preserve">Matematická analýza je jednou ze základních disciplín matematiky. Jejími základními pojmy jsou funkce, limita (posloupností a funkcí), derivace a integrál. Metody matematické analýzy mají velký význam v přírodních a technických vědách. Vývoj a použití kalkulu (diferenciálního a integrálního počtu) a matematické analýzy měl a má dalekosáhlé důsledky pro téměř všechny aspekty života v moderním světě. Je používán téměř ve všech vědách, především ve fyzice. Prakticky všechny moderní výdobytky, například různé stavební techniky, letectví a jiné technologie používají infinitezimální počet přímo ve svých základech. Mnoho algebraických vzorců, které jsou dnes používané v balistice, energetice a jiných praktických vědách, byly odvozené prostřednictvím kalkulu</w:t>
            </w:r>
          </w:p>
          <w:p w:rsidR="00000000" w:rsidDel="00000000" w:rsidP="00000000" w:rsidRDefault="00000000" w:rsidRPr="00000000" w14:paraId="00000010">
            <w:pPr>
              <w:spacing w:after="240" w:before="240" w:line="257" w:lineRule="auto"/>
              <w:ind w:left="284" w:firstLine="0"/>
              <w:rPr/>
            </w:pPr>
            <w:r w:rsidDel="00000000" w:rsidR="00000000" w:rsidRPr="00000000">
              <w:rPr>
                <w:rtl w:val="0"/>
              </w:rPr>
            </w:r>
          </w:p>
        </w:tc>
      </w:tr>
      <w:tr>
        <w:trPr>
          <w:cantSplit w:val="0"/>
          <w:tblHeader w:val="0"/>
        </w:trPr>
        <w:tc>
          <w:tcPr>
            <w:tcBorders>
              <w:top w:color="000000" w:space="0" w:sz="0" w:val="nil"/>
              <w:left w:color="000000" w:space="0" w:sz="5" w:val="single"/>
              <w:bottom w:color="000000" w:space="0" w:sz="5" w:val="single"/>
              <w:right w:color="000000" w:space="0" w:sz="5" w:val="single"/>
            </w:tcBorders>
            <w:shd w:fill="ffffff" w:val="clear"/>
            <w:tcMar>
              <w:top w:w="0.0" w:type="dxa"/>
              <w:left w:w="100.0" w:type="dxa"/>
              <w:bottom w:w="0.0" w:type="dxa"/>
              <w:right w:w="100.0" w:type="dxa"/>
            </w:tcM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240" w:before="240" w:line="256" w:lineRule="auto"/>
              <w:rPr>
                <w:b w:val="1"/>
              </w:rPr>
            </w:pPr>
            <w:r w:rsidDel="00000000" w:rsidR="00000000" w:rsidRPr="00000000">
              <w:rPr>
                <w:b w:val="1"/>
                <w:color w:val="000000"/>
                <w:rtl w:val="0"/>
              </w:rPr>
              <w:t xml:space="preserve">Očekávané výsledky učení a jejich indikátory: </w:t>
            </w:r>
            <w:r w:rsidDel="00000000" w:rsidR="00000000" w:rsidRPr="00000000">
              <w:rPr>
                <w:rtl w:val="0"/>
              </w:rPr>
            </w:r>
          </w:p>
          <w:p w:rsidR="00000000" w:rsidDel="00000000" w:rsidP="00000000" w:rsidRDefault="00000000" w:rsidRPr="00000000" w14:paraId="00000012">
            <w:pPr>
              <w:spacing w:after="240" w:before="240" w:line="257" w:lineRule="auto"/>
              <w:ind w:left="284" w:firstLine="0"/>
              <w:rPr/>
            </w:pPr>
            <w:r w:rsidDel="00000000" w:rsidR="00000000" w:rsidRPr="00000000">
              <w:rPr>
                <w:rtl w:val="0"/>
              </w:rPr>
              <w:t xml:space="preserve">3. ročník</w:t>
            </w:r>
          </w:p>
          <w:p w:rsidR="00000000" w:rsidDel="00000000" w:rsidP="00000000" w:rsidRDefault="00000000" w:rsidRPr="00000000" w14:paraId="00000013">
            <w:pPr>
              <w:spacing w:after="240" w:before="240" w:line="257" w:lineRule="auto"/>
              <w:ind w:left="284" w:firstLine="0"/>
              <w:rPr>
                <w:sz w:val="28"/>
                <w:szCs w:val="28"/>
              </w:rPr>
            </w:pPr>
            <w:r w:rsidDel="00000000" w:rsidR="00000000" w:rsidRPr="00000000">
              <w:rPr>
                <w:rtl w:val="0"/>
              </w:rPr>
              <w:t xml:space="preserve">Algebraické rovnice a nerovnice</w:t>
            </w: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matematizuje reálný problém, sestaví rovnice k řešení úloh, využívá vlastnosti a vzájemné vztahy funkcí </w:t>
            </w:r>
          </w:p>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řeší algebraické rovnice a nerovnice pomocí ekvivalentních a neekvivalentních úprav, využívá substituci</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modeluje reálnou situaci pomocí funkčních vztahů a s účelným využitím prostředků digitálních technologií vyřeší úlohu se vztahem k běžnému životu nebo oboru vzdělání</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posoudí výsledek řešení z hlediska správnosti postupu, splnění zadání, počtu řešení i věcného významu a své řešení obhájí</w:t>
            </w:r>
          </w:p>
          <w:p w:rsidR="00000000" w:rsidDel="00000000" w:rsidP="00000000" w:rsidRDefault="00000000" w:rsidRPr="00000000" w14:paraId="00000018">
            <w:pPr>
              <w:spacing w:after="240" w:before="240" w:line="257" w:lineRule="auto"/>
              <w:ind w:left="284" w:firstLine="0"/>
              <w:rPr/>
            </w:pPr>
            <w:r w:rsidDel="00000000" w:rsidR="00000000" w:rsidRPr="00000000">
              <w:rPr>
                <w:rtl w:val="0"/>
              </w:rPr>
              <w:t xml:space="preserve">Goniometrie</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matematizuje reálný problém, používá vlastnosti a vzájemné vztahy goniometrických funkcí při úpravě výrazu a řešení goniometrické rovnice</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aplikuje goniometrické věty v praktických trigonometrických úlohách </w:t>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modeluje reálnou situaci pomocí matematického softwaru a s účelným využitím prostředků digitálních technologií vyřeší úlohu se vztahem k běžnému životu nebo oboru vzdělání</w:t>
            </w:r>
          </w:p>
          <w:p w:rsidR="00000000" w:rsidDel="00000000" w:rsidP="00000000" w:rsidRDefault="00000000" w:rsidRPr="00000000" w14:paraId="000000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posoudí výsledek řešení z hlediska správnosti postupu, splnění zadání, počtu řešení i věcného významu a své řešení obhájí</w:t>
            </w:r>
          </w:p>
          <w:p w:rsidR="00000000" w:rsidDel="00000000" w:rsidP="00000000" w:rsidRDefault="00000000" w:rsidRPr="00000000" w14:paraId="0000001D">
            <w:pPr>
              <w:spacing w:after="240" w:before="240" w:line="257" w:lineRule="auto"/>
              <w:ind w:left="284" w:firstLine="0"/>
              <w:rPr/>
            </w:pPr>
            <w:r w:rsidDel="00000000" w:rsidR="00000000" w:rsidRPr="00000000">
              <w:rPr>
                <w:rtl w:val="0"/>
              </w:rPr>
              <w:t xml:space="preserve">Vektory a analytická geometrie</w:t>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používá kartézskou soustavu souřadnic a vektorovou algebru v rovině i v prostoru, aplikuje je v matematických i reálných situacích</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vyjadřuje analyticky kuželosečky a vhodně používá různé tvary jejich rovnic</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aplikuje analytické vyjádření rovinných útvarů a jejich vzájemnou polohu v úlohách se vztahem k běžnému životu</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analyzuje problémy při řešení úloh v rovině, hledá efektivní a kreativní řešení, modeluje situaci pomocí matematického softwaru</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before="240" w:line="257" w:lineRule="auto"/>
              <w:ind w:left="284" w:firstLine="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before="240" w:line="257" w:lineRule="auto"/>
              <w:ind w:left="284" w:firstLine="0"/>
              <w:rPr/>
            </w:pPr>
            <w:r w:rsidDel="00000000" w:rsidR="00000000" w:rsidRPr="00000000">
              <w:rPr>
                <w:rtl w:val="0"/>
              </w:rPr>
              <w:t xml:space="preserve">4. ročník</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before="240" w:line="257" w:lineRule="auto"/>
              <w:ind w:left="284" w:firstLine="0"/>
              <w:rPr/>
            </w:pPr>
            <w:r w:rsidDel="00000000" w:rsidR="00000000" w:rsidRPr="00000000">
              <w:rPr>
                <w:rtl w:val="0"/>
              </w:rPr>
              <w:t xml:space="preserve">Matematická analýza</w:t>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správně aplikuje pravidla pro výpočet limit, interpretuje grafy funkcí a dokáže určit limitu z grafického zobrazení</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provádí testy spojitosti pro různé typy funkcí, dokáže identifikovat body nespojitosti a analyzovat jejich vliv na chování funkce</w:t>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správně používá pravidla derivování (součet, součin, podíl, řetězové pravidlo), umí aplikovat derivaci k nalezení tangenty a normály k funkcím</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analyzuje průběh funkce pomocí první a druhé derivace včetně monotonie, extrémů a konvexnosti, identifikuje asymptoty</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aplikuje L'Hospitalovo pravidlo pro výpočet limit</w:t>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provádí výpočty neurčitých a určitých integrálů, používá metody substituce a částečných integrálů</w:t>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využívá integrální počet k výpočtu obsahu a objemu, interpretuje výsledky v kontextu reálných situací</w:t>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řeší jednoduché diferenciální rovnice, využívá jejich řešení v praktických aplikacích</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2300" w:right="851" w:firstLine="0"/>
              <w:jc w:val="left"/>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56" w:lineRule="auto"/>
              <w:rPr>
                <w:color w:val="000000"/>
                <w:sz w:val="28"/>
                <w:szCs w:val="28"/>
              </w:rPr>
            </w:pPr>
            <w:r w:rsidDel="00000000" w:rsidR="00000000" w:rsidRPr="00000000">
              <w:rPr>
                <w:rtl w:val="0"/>
              </w:rPr>
            </w:r>
          </w:p>
        </w:tc>
      </w:tr>
      <w:tr>
        <w:trPr>
          <w:cantSplit w:val="0"/>
          <w:tblHeader w:val="0"/>
        </w:trPr>
        <w:tc>
          <w:tcPr>
            <w:tcBorders>
              <w:top w:color="000000" w:space="0" w:sz="0" w:val="nil"/>
              <w:left w:color="000000" w:space="0" w:sz="5" w:val="single"/>
              <w:bottom w:color="000000" w:space="0" w:sz="5" w:val="single"/>
              <w:right w:color="000000" w:space="0" w:sz="5" w:val="single"/>
            </w:tcBorders>
            <w:shd w:fill="ffffff" w:val="clear"/>
            <w:tcMar>
              <w:top w:w="0.0" w:type="dxa"/>
              <w:left w:w="100.0" w:type="dxa"/>
              <w:bottom w:w="0.0" w:type="dxa"/>
              <w:right w:w="100.0" w:type="dxa"/>
            </w:tcMar>
          </w:tcPr>
          <w:p w:rsidR="00000000" w:rsidDel="00000000" w:rsidP="00000000" w:rsidRDefault="00000000" w:rsidRPr="00000000" w14:paraId="0000002F">
            <w:pPr>
              <w:spacing w:after="240" w:before="240" w:line="256" w:lineRule="auto"/>
              <w:rPr/>
            </w:pPr>
            <w:r w:rsidDel="00000000" w:rsidR="00000000" w:rsidRPr="00000000">
              <w:rPr>
                <w:b w:val="1"/>
                <w:rtl w:val="0"/>
              </w:rPr>
              <w:t xml:space="preserve">Podpora rozvoje klíčových kompetencí a základních gramotností: </w:t>
            </w:r>
            <w:r w:rsidDel="00000000" w:rsidR="00000000" w:rsidRPr="00000000">
              <w:rPr>
                <w:rtl w:val="0"/>
              </w:rPr>
            </w:r>
          </w:p>
          <w:p w:rsidR="00000000" w:rsidDel="00000000" w:rsidP="00000000" w:rsidRDefault="00000000" w:rsidRPr="00000000" w14:paraId="000000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Kompetence k učení</w:t>
            </w:r>
          </w:p>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Kompetence komunikační</w:t>
            </w:r>
          </w:p>
          <w:p w:rsidR="00000000" w:rsidDel="00000000" w:rsidP="00000000" w:rsidRDefault="00000000" w:rsidRPr="00000000" w14:paraId="0000003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Kompetence osobnostní a sociální</w:t>
            </w:r>
          </w:p>
          <w:p w:rsidR="00000000" w:rsidDel="00000000" w:rsidP="00000000" w:rsidRDefault="00000000" w:rsidRPr="00000000" w14:paraId="0000003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u w:val="none"/>
              </w:rPr>
            </w:pPr>
            <w:r w:rsidDel="00000000" w:rsidR="00000000" w:rsidRPr="00000000">
              <w:rPr>
                <w:rtl w:val="0"/>
              </w:rPr>
              <w:t xml:space="preserve">Kompetence k občanství a udržitelnosti</w:t>
            </w:r>
          </w:p>
          <w:p w:rsidR="00000000" w:rsidDel="00000000" w:rsidP="00000000" w:rsidRDefault="00000000" w:rsidRPr="00000000" w14:paraId="0000003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Kompetence k podnikavosti a pracovní</w:t>
            </w:r>
          </w:p>
          <w:p w:rsidR="00000000" w:rsidDel="00000000" w:rsidP="00000000" w:rsidRDefault="00000000" w:rsidRPr="00000000" w14:paraId="000000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Kompetence k řešení problémů</w:t>
            </w:r>
          </w:p>
          <w:p w:rsidR="00000000" w:rsidDel="00000000" w:rsidP="00000000" w:rsidRDefault="00000000" w:rsidRPr="00000000" w14:paraId="0000003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u w:val="none"/>
              </w:rPr>
            </w:pPr>
            <w:r w:rsidDel="00000000" w:rsidR="00000000" w:rsidRPr="00000000">
              <w:rPr>
                <w:rtl w:val="0"/>
              </w:rPr>
              <w:t xml:space="preserve">Kompetence kulturní</w:t>
            </w:r>
          </w:p>
          <w:p w:rsidR="00000000" w:rsidDel="00000000" w:rsidP="00000000" w:rsidRDefault="00000000" w:rsidRPr="00000000" w14:paraId="000000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Kompetence digitální</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924" w:right="851"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Čtenářská a pisatelská gramotnost</w:t>
            </w:r>
          </w:p>
          <w:p w:rsidR="00000000" w:rsidDel="00000000" w:rsidP="00000000" w:rsidRDefault="00000000" w:rsidRPr="00000000" w14:paraId="0000003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Logicko-matematická gramotnost </w:t>
            </w:r>
          </w:p>
          <w:p w:rsidR="00000000" w:rsidDel="00000000" w:rsidP="00000000" w:rsidRDefault="00000000" w:rsidRPr="00000000" w14:paraId="0000003B">
            <w:pPr>
              <w:spacing w:after="60" w:line="256" w:lineRule="auto"/>
              <w:ind w:left="1940" w:right="1020" w:hanging="360"/>
              <w:rPr/>
            </w:pPr>
            <w:r w:rsidDel="00000000" w:rsidR="00000000" w:rsidRPr="00000000">
              <w:rPr>
                <w:rtl w:val="0"/>
              </w:rPr>
            </w:r>
          </w:p>
          <w:p w:rsidR="00000000" w:rsidDel="00000000" w:rsidP="00000000" w:rsidRDefault="00000000" w:rsidRPr="00000000" w14:paraId="0000003C">
            <w:pPr>
              <w:spacing w:after="60" w:line="256" w:lineRule="auto"/>
              <w:ind w:left="1940" w:right="1020" w:hanging="360"/>
              <w:rPr/>
            </w:pPr>
            <w:r w:rsidDel="00000000" w:rsidR="00000000" w:rsidRPr="00000000">
              <w:rPr>
                <w:rtl w:val="0"/>
              </w:rPr>
            </w:r>
          </w:p>
        </w:tc>
      </w:tr>
      <w:tr>
        <w:trPr>
          <w:cantSplit w:val="0"/>
          <w:trHeight w:val="2145" w:hRule="atLeast"/>
          <w:tblHeader w:val="0"/>
        </w:trPr>
        <w:tc>
          <w:tcPr>
            <w:tcBorders>
              <w:top w:color="000000" w:space="0" w:sz="0" w:val="nil"/>
              <w:left w:color="000000" w:space="0" w:sz="5" w:val="single"/>
              <w:bottom w:color="000000" w:space="0" w:sz="5" w:val="single"/>
              <w:right w:color="000000" w:space="0" w:sz="5" w:val="single"/>
            </w:tcBorders>
            <w:shd w:fill="ffffff" w:val="clear"/>
            <w:tcMar>
              <w:top w:w="0.0" w:type="dxa"/>
              <w:left w:w="100.0" w:type="dxa"/>
              <w:bottom w:w="0.0" w:type="dxa"/>
              <w:right w:w="100.0" w:type="dxa"/>
            </w:tcMa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240" w:before="240" w:line="256" w:lineRule="auto"/>
              <w:rPr>
                <w:color w:val="000000"/>
              </w:rPr>
            </w:pPr>
            <w:r w:rsidDel="00000000" w:rsidR="00000000" w:rsidRPr="00000000">
              <w:rPr>
                <w:b w:val="1"/>
                <w:rtl w:val="0"/>
              </w:rPr>
              <w:t xml:space="preserve">Obsah</w:t>
            </w:r>
            <w:r w:rsidDel="00000000" w:rsidR="00000000" w:rsidRPr="00000000">
              <w:rPr>
                <w:b w:val="1"/>
                <w:color w:val="000000"/>
                <w:rtl w:val="0"/>
              </w:rPr>
              <w:t xml:space="preserve"> vzdělávání: </w:t>
            </w:r>
            <w:r w:rsidDel="00000000" w:rsidR="00000000" w:rsidRPr="00000000">
              <w:rPr>
                <w:rtl w:val="0"/>
              </w:rPr>
            </w:r>
          </w:p>
          <w:p w:rsidR="00000000" w:rsidDel="00000000" w:rsidP="00000000" w:rsidRDefault="00000000" w:rsidRPr="00000000" w14:paraId="0000003E">
            <w:pPr>
              <w:spacing w:after="240" w:before="240" w:line="257" w:lineRule="auto"/>
              <w:ind w:left="284" w:firstLine="0"/>
              <w:rPr/>
            </w:pPr>
            <w:r w:rsidDel="00000000" w:rsidR="00000000" w:rsidRPr="00000000">
              <w:rPr>
                <w:rtl w:val="0"/>
              </w:rPr>
              <w:t xml:space="preserve">3. ročník</w:t>
            </w:r>
          </w:p>
          <w:p w:rsidR="00000000" w:rsidDel="00000000" w:rsidP="00000000" w:rsidRDefault="00000000" w:rsidRPr="00000000" w14:paraId="0000003F">
            <w:pPr>
              <w:spacing w:after="240" w:before="240" w:line="257" w:lineRule="auto"/>
              <w:ind w:left="284" w:firstLine="0"/>
              <w:rPr/>
            </w:pPr>
            <w:r w:rsidDel="00000000" w:rsidR="00000000" w:rsidRPr="00000000">
              <w:rPr>
                <w:rtl w:val="0"/>
              </w:rPr>
              <w:t xml:space="preserve">Algebraické rovnice a nerovnice</w:t>
            </w:r>
          </w:p>
          <w:p w:rsidR="00000000" w:rsidDel="00000000" w:rsidP="00000000" w:rsidRDefault="00000000" w:rsidRPr="00000000" w14:paraId="000000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Rovnice s absolutní hodnotou.</w:t>
            </w:r>
          </w:p>
          <w:p w:rsidR="00000000" w:rsidDel="00000000" w:rsidP="00000000" w:rsidRDefault="00000000" w:rsidRPr="00000000" w14:paraId="0000004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Kvadratické rovnice a nerovnice.</w:t>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Iracionální rovnice a nerovnice.</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Exponenciální a logaritmické rovnice a nerovnice.</w:t>
            </w:r>
          </w:p>
          <w:p w:rsidR="00000000" w:rsidDel="00000000" w:rsidP="00000000" w:rsidRDefault="00000000" w:rsidRPr="00000000" w14:paraId="00000044">
            <w:pPr>
              <w:spacing w:after="240" w:before="240" w:line="257" w:lineRule="auto"/>
              <w:ind w:left="284" w:firstLine="0"/>
              <w:rPr/>
            </w:pPr>
            <w:r w:rsidDel="00000000" w:rsidR="00000000" w:rsidRPr="00000000">
              <w:rPr>
                <w:rtl w:val="0"/>
              </w:rPr>
              <w:t xml:space="preserve">Goniometrie</w:t>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Goniometrické funkce a jejich grafy.</w:t>
            </w:r>
          </w:p>
          <w:p w:rsidR="00000000" w:rsidDel="00000000" w:rsidP="00000000" w:rsidRDefault="00000000" w:rsidRPr="00000000" w14:paraId="000000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Goniometrické vzorce a identity.</w:t>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Goniometrické rovnice.</w:t>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Řešení trojúhelníků.</w:t>
            </w:r>
          </w:p>
          <w:p w:rsidR="00000000" w:rsidDel="00000000" w:rsidP="00000000" w:rsidRDefault="00000000" w:rsidRPr="00000000" w14:paraId="00000049">
            <w:pPr>
              <w:spacing w:after="240" w:before="240" w:line="257" w:lineRule="auto"/>
              <w:ind w:left="284" w:firstLine="0"/>
              <w:rPr/>
            </w:pPr>
            <w:r w:rsidDel="00000000" w:rsidR="00000000" w:rsidRPr="00000000">
              <w:rPr>
                <w:rtl w:val="0"/>
              </w:rPr>
              <w:t xml:space="preserve">Vektory a analytická geometrie</w:t>
            </w:r>
          </w:p>
          <w:p w:rsidR="00000000" w:rsidDel="00000000" w:rsidP="00000000" w:rsidRDefault="00000000" w:rsidRPr="00000000" w14:paraId="000000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Vektory a operace s nimi.</w:t>
            </w:r>
          </w:p>
          <w:p w:rsidR="00000000" w:rsidDel="00000000" w:rsidP="00000000" w:rsidRDefault="00000000" w:rsidRPr="00000000" w14:paraId="000000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Skalární a vektorový součin.</w:t>
            </w:r>
          </w:p>
          <w:p w:rsidR="00000000" w:rsidDel="00000000" w:rsidP="00000000" w:rsidRDefault="00000000" w:rsidRPr="00000000" w14:paraId="0000004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Přímky a body ve vektorové rovině.</w:t>
            </w:r>
          </w:p>
          <w:p w:rsidR="00000000" w:rsidDel="00000000" w:rsidP="00000000" w:rsidRDefault="00000000" w:rsidRPr="00000000" w14:paraId="0000004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Kuželosečky.</w:t>
            </w:r>
          </w:p>
          <w:p w:rsidR="00000000" w:rsidDel="00000000" w:rsidP="00000000" w:rsidRDefault="00000000" w:rsidRPr="00000000" w14:paraId="0000004E">
            <w:pPr>
              <w:spacing w:after="240" w:before="240" w:line="257" w:lineRule="auto"/>
              <w:ind w:left="284" w:firstLine="0"/>
              <w:rPr/>
            </w:pPr>
            <w:r w:rsidDel="00000000" w:rsidR="00000000" w:rsidRPr="00000000">
              <w:rPr>
                <w:rtl w:val="0"/>
              </w:rPr>
            </w:r>
          </w:p>
          <w:p w:rsidR="00000000" w:rsidDel="00000000" w:rsidP="00000000" w:rsidRDefault="00000000" w:rsidRPr="00000000" w14:paraId="0000004F">
            <w:pPr>
              <w:spacing w:after="240" w:before="240" w:line="257" w:lineRule="auto"/>
              <w:ind w:left="284" w:firstLine="0"/>
              <w:rPr/>
            </w:pPr>
            <w:r w:rsidDel="00000000" w:rsidR="00000000" w:rsidRPr="00000000">
              <w:rPr>
                <w:rtl w:val="0"/>
              </w:rPr>
              <w:t xml:space="preserve">4. ročník</w:t>
            </w:r>
          </w:p>
          <w:p w:rsidR="00000000" w:rsidDel="00000000" w:rsidP="00000000" w:rsidRDefault="00000000" w:rsidRPr="00000000" w14:paraId="00000050">
            <w:pPr>
              <w:spacing w:after="240" w:before="240" w:line="257" w:lineRule="auto"/>
              <w:ind w:left="284" w:firstLine="0"/>
              <w:rPr/>
            </w:pPr>
            <w:r w:rsidDel="00000000" w:rsidR="00000000" w:rsidRPr="00000000">
              <w:rPr>
                <w:rtl w:val="0"/>
              </w:rPr>
              <w:t xml:space="preserve">Matematická analýza</w:t>
            </w:r>
          </w:p>
          <w:p w:rsidR="00000000" w:rsidDel="00000000" w:rsidP="00000000" w:rsidRDefault="00000000" w:rsidRPr="00000000" w14:paraId="0000005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Limita funkce.</w:t>
            </w:r>
          </w:p>
          <w:p w:rsidR="00000000" w:rsidDel="00000000" w:rsidP="00000000" w:rsidRDefault="00000000" w:rsidRPr="00000000" w14:paraId="0000005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Spojitost funkce.</w:t>
            </w:r>
          </w:p>
          <w:p w:rsidR="00000000" w:rsidDel="00000000" w:rsidP="00000000" w:rsidRDefault="00000000" w:rsidRPr="00000000" w14:paraId="0000005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Diferenciální počet (derivace, tečna, normála).</w:t>
            </w:r>
          </w:p>
          <w:p w:rsidR="00000000" w:rsidDel="00000000" w:rsidP="00000000" w:rsidRDefault="00000000" w:rsidRPr="00000000" w14:paraId="0000005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Vyšetřování průběhu funkce (monotonie, extrémy, konvexnost, konkávnost, asymptoty).</w:t>
            </w:r>
          </w:p>
          <w:p w:rsidR="00000000" w:rsidDel="00000000" w:rsidP="00000000" w:rsidRDefault="00000000" w:rsidRPr="00000000" w14:paraId="0000005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L'Hospitalovo pravidlo.</w:t>
            </w:r>
          </w:p>
          <w:p w:rsidR="00000000" w:rsidDel="00000000" w:rsidP="00000000" w:rsidRDefault="00000000" w:rsidRPr="00000000" w14:paraId="0000005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Integrální počet (neurčitý a určitý integrál).</w:t>
            </w:r>
          </w:p>
          <w:p w:rsidR="00000000" w:rsidDel="00000000" w:rsidP="00000000" w:rsidRDefault="00000000" w:rsidRPr="00000000" w14:paraId="0000005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Aplikace integrálního počtu (obsah, objem).</w:t>
            </w:r>
          </w:p>
          <w:p w:rsidR="00000000" w:rsidDel="00000000" w:rsidP="00000000" w:rsidRDefault="00000000" w:rsidRPr="00000000" w14:paraId="0000005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Diferenciální rovnice.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2300" w:right="851" w:firstLine="0"/>
              <w:jc w:val="left"/>
              <w:rPr/>
            </w:pPr>
            <w:r w:rsidDel="00000000" w:rsidR="00000000" w:rsidRPr="00000000">
              <w:rPr>
                <w:rtl w:val="0"/>
              </w:rPr>
            </w:r>
          </w:p>
          <w:p w:rsidR="00000000" w:rsidDel="00000000" w:rsidP="00000000" w:rsidRDefault="00000000" w:rsidRPr="00000000" w14:paraId="0000005A">
            <w:pPr>
              <w:widowControl w:val="1"/>
              <w:rPr/>
            </w:pPr>
            <w:r w:rsidDel="00000000" w:rsidR="00000000" w:rsidRPr="00000000">
              <w:rPr>
                <w:rtl w:val="0"/>
              </w:rPr>
            </w:r>
          </w:p>
        </w:tc>
      </w:tr>
      <w:tr>
        <w:trPr>
          <w:cantSplit w:val="0"/>
          <w:trHeight w:val="615" w:hRule="atLeast"/>
          <w:tblHeader w:val="0"/>
        </w:trPr>
        <w:tc>
          <w:tcPr>
            <w:tcBorders>
              <w:top w:color="000000" w:space="0" w:sz="0" w:val="nil"/>
              <w:left w:color="000000" w:space="0" w:sz="5" w:val="single"/>
              <w:bottom w:color="000000" w:space="0" w:sz="5" w:val="single"/>
              <w:right w:color="000000" w:space="0" w:sz="5" w:val="single"/>
            </w:tcBorders>
            <w:shd w:fill="ffffff" w:val="clear"/>
            <w:tcMar>
              <w:top w:w="0.0" w:type="dxa"/>
              <w:left w:w="100.0" w:type="dxa"/>
              <w:bottom w:w="0.0" w:type="dxa"/>
              <w:right w:w="100.0" w:type="dxa"/>
            </w:tcMar>
          </w:tcPr>
          <w:p w:rsidR="00000000" w:rsidDel="00000000" w:rsidP="00000000" w:rsidRDefault="00000000" w:rsidRPr="00000000" w14:paraId="0000005B">
            <w:pPr>
              <w:spacing w:after="240" w:before="240" w:line="256" w:lineRule="auto"/>
              <w:rPr>
                <w:b w:val="1"/>
              </w:rPr>
            </w:pPr>
            <w:r w:rsidDel="00000000" w:rsidR="00000000" w:rsidRPr="00000000">
              <w:rPr>
                <w:b w:val="1"/>
                <w:rtl w:val="0"/>
              </w:rPr>
              <w:t xml:space="preserve">Vzdělávací strategie: </w:t>
            </w:r>
          </w:p>
          <w:p w:rsidR="00000000" w:rsidDel="00000000" w:rsidP="00000000" w:rsidRDefault="00000000" w:rsidRPr="00000000" w14:paraId="0000005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výklad s důrazem na teoretické základy, dialog mezi učitelem a žáky</w:t>
            </w:r>
          </w:p>
          <w:p w:rsidR="00000000" w:rsidDel="00000000" w:rsidP="00000000" w:rsidRDefault="00000000" w:rsidRPr="00000000" w14:paraId="0000005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řešení problémových úloh a různé aktivity pro individuální a skupinovou práci</w:t>
            </w:r>
          </w:p>
          <w:p w:rsidR="00000000" w:rsidDel="00000000" w:rsidP="00000000" w:rsidRDefault="00000000" w:rsidRPr="00000000" w14:paraId="0000005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badatelství a řešení problémů s podporou digitálních technologií</w:t>
            </w:r>
          </w:p>
          <w:p w:rsidR="00000000" w:rsidDel="00000000" w:rsidP="00000000" w:rsidRDefault="00000000" w:rsidRPr="00000000" w14:paraId="0000005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využití počítačových programů pro vizualizaci a řešení úloh</w:t>
            </w:r>
          </w:p>
          <w:p w:rsidR="00000000" w:rsidDel="00000000" w:rsidP="00000000" w:rsidRDefault="00000000" w:rsidRPr="00000000" w14:paraId="0000006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důraz na logické odvozování a diskuzi nad způsobem řešení</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2300" w:right="851" w:firstLine="0"/>
              <w:jc w:val="left"/>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924" w:right="851" w:firstLine="0"/>
              <w:jc w:val="left"/>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924" w:right="851" w:firstLine="0"/>
              <w:jc w:val="left"/>
              <w:rPr/>
            </w:pPr>
            <w:r w:rsidDel="00000000" w:rsidR="00000000" w:rsidRPr="00000000">
              <w:rPr>
                <w:rtl w:val="0"/>
              </w:rPr>
            </w:r>
          </w:p>
        </w:tc>
      </w:tr>
    </w:tbl>
    <w:p w:rsidR="00000000" w:rsidDel="00000000" w:rsidP="00000000" w:rsidRDefault="00000000" w:rsidRPr="00000000" w14:paraId="00000064">
      <w:pPr>
        <w:spacing w:after="240" w:before="240" w:lineRule="auto"/>
        <w:rPr/>
      </w:pPr>
      <w:r w:rsidDel="00000000" w:rsidR="00000000" w:rsidRPr="00000000">
        <w:rPr>
          <w:rtl w:val="0"/>
        </w:rPr>
        <w:t xml:space="preserve"> </w:t>
      </w:r>
    </w:p>
    <w:tbl>
      <w:tblPr>
        <w:tblStyle w:val="Table3"/>
        <w:tblW w:w="90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60"/>
        <w:tblGridChange w:id="0">
          <w:tblGrid>
            <w:gridCol w:w="9060"/>
          </w:tblGrid>
        </w:tblGridChange>
      </w:tblGrid>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65">
            <w:pPr>
              <w:spacing w:after="240" w:before="240" w:line="256" w:lineRule="auto"/>
              <w:ind w:left="440" w:firstLine="0"/>
              <w:rPr>
                <w:b w:val="1"/>
              </w:rPr>
            </w:pPr>
            <w:r w:rsidDel="00000000" w:rsidR="00000000" w:rsidRPr="00000000">
              <w:rPr>
                <w:b w:val="1"/>
                <w:rtl w:val="0"/>
              </w:rPr>
              <w:t xml:space="preserve">C. VÝSTUPNÍ ČÁST</w:t>
            </w:r>
          </w:p>
        </w:tc>
      </w:tr>
      <w:tr>
        <w:trPr>
          <w:cantSplit w:val="0"/>
          <w:tblHeader w:val="0"/>
        </w:trPr>
        <w:tc>
          <w:tcPr>
            <w:tcBorders>
              <w:top w:color="000000" w:space="0" w:sz="4" w:val="single"/>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66">
            <w:pPr>
              <w:spacing w:after="240" w:before="240" w:line="256" w:lineRule="auto"/>
              <w:rPr/>
            </w:pPr>
            <w:r w:rsidDel="00000000" w:rsidR="00000000" w:rsidRPr="00000000">
              <w:rPr>
                <w:b w:val="1"/>
                <w:rtl w:val="0"/>
              </w:rPr>
              <w:t xml:space="preserve">Způsob ověřování dosažených výsledků: </w:t>
            </w: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řešení písemných testových úloh, prověrky</w:t>
            </w:r>
          </w:p>
          <w:p w:rsidR="00000000" w:rsidDel="00000000" w:rsidP="00000000" w:rsidRDefault="00000000" w:rsidRPr="00000000" w14:paraId="0000006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aktivita v hodinách a účast na diskuzích</w:t>
            </w:r>
          </w:p>
          <w:p w:rsidR="00000000" w:rsidDel="00000000" w:rsidP="00000000" w:rsidRDefault="00000000" w:rsidRPr="00000000" w14:paraId="0000006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samostatná práce a domácí úkoly</w:t>
            </w:r>
          </w:p>
          <w:p w:rsidR="00000000" w:rsidDel="00000000" w:rsidP="00000000" w:rsidRDefault="00000000" w:rsidRPr="00000000" w14:paraId="0000006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prezentace studentských projektů</w:t>
            </w:r>
          </w:p>
          <w:p w:rsidR="00000000" w:rsidDel="00000000" w:rsidP="00000000" w:rsidRDefault="00000000" w:rsidRPr="00000000" w14:paraId="0000006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zpětnovazebný rozhovor, ústní zkoušení učitelem</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2300" w:right="851" w:firstLine="0"/>
              <w:jc w:val="left"/>
              <w:rPr/>
            </w:pPr>
            <w:r w:rsidDel="00000000" w:rsidR="00000000" w:rsidRPr="00000000">
              <w:rPr>
                <w:rtl w:val="0"/>
              </w:rPr>
            </w:r>
          </w:p>
          <w:p w:rsidR="00000000" w:rsidDel="00000000" w:rsidP="00000000" w:rsidRDefault="00000000" w:rsidRPr="00000000" w14:paraId="0000006D">
            <w:pPr>
              <w:spacing w:line="257" w:lineRule="auto"/>
              <w:ind w:left="567" w:right="851" w:firstLine="0"/>
              <w:rPr/>
            </w:pPr>
            <w:r w:rsidDel="00000000" w:rsidR="00000000" w:rsidRPr="00000000">
              <w:rPr>
                <w:rtl w:val="0"/>
              </w:rPr>
            </w:r>
          </w:p>
        </w:tc>
      </w:tr>
      <w:tr>
        <w:trPr>
          <w:cantSplit w:val="0"/>
          <w:trHeight w:val="442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6E">
            <w:pPr>
              <w:spacing w:after="240" w:before="240" w:line="256" w:lineRule="auto"/>
              <w:rPr/>
            </w:pPr>
            <w:r w:rsidDel="00000000" w:rsidR="00000000" w:rsidRPr="00000000">
              <w:rPr>
                <w:b w:val="1"/>
                <w:rtl w:val="0"/>
              </w:rPr>
              <w:t xml:space="preserve">Kritéria hodnocení: </w:t>
            </w:r>
            <w:r w:rsidDel="00000000" w:rsidR="00000000" w:rsidRPr="00000000">
              <w:rPr>
                <w:rtl w:val="0"/>
              </w:rPr>
            </w:r>
          </w:p>
          <w:p w:rsidR="00000000" w:rsidDel="00000000" w:rsidP="00000000" w:rsidRDefault="00000000" w:rsidRPr="00000000" w14:paraId="0000006F">
            <w:pPr>
              <w:spacing w:after="240" w:before="240" w:line="257" w:lineRule="auto"/>
              <w:ind w:left="284" w:firstLine="0"/>
              <w:rPr/>
            </w:pPr>
            <w:r w:rsidDel="00000000" w:rsidR="00000000" w:rsidRPr="00000000">
              <w:rPr>
                <w:rtl w:val="0"/>
              </w:rPr>
              <w:t xml:space="preserve">Kritéria hodnocení jsou definována v Klasifikačním řádu.</w:t>
            </w:r>
          </w:p>
          <w:p w:rsidR="00000000" w:rsidDel="00000000" w:rsidP="00000000" w:rsidRDefault="00000000" w:rsidRPr="00000000" w14:paraId="00000070">
            <w:pPr>
              <w:spacing w:after="240" w:before="240" w:line="257" w:lineRule="auto"/>
              <w:ind w:left="284" w:firstLine="0"/>
              <w:rPr/>
            </w:pPr>
            <w:r w:rsidDel="00000000" w:rsidR="00000000" w:rsidRPr="00000000">
              <w:rPr>
                <w:rtl w:val="0"/>
              </w:rPr>
              <w:t xml:space="preserve">Hodnocení je kriteriální. </w:t>
            </w:r>
          </w:p>
          <w:p w:rsidR="00000000" w:rsidDel="00000000" w:rsidP="00000000" w:rsidRDefault="00000000" w:rsidRPr="00000000" w14:paraId="00000071">
            <w:pPr>
              <w:spacing w:after="240" w:before="240" w:line="257" w:lineRule="auto"/>
              <w:ind w:left="284" w:firstLine="0"/>
              <w:rPr/>
            </w:pPr>
            <w:r w:rsidDel="00000000" w:rsidR="00000000" w:rsidRPr="00000000">
              <w:rPr>
                <w:rtl w:val="0"/>
              </w:rPr>
              <w:t xml:space="preserve">Hodnotí se:</w:t>
            </w:r>
          </w:p>
          <w:p w:rsidR="00000000" w:rsidDel="00000000" w:rsidP="00000000" w:rsidRDefault="00000000" w:rsidRPr="00000000" w14:paraId="0000007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kompetence: dovednosti, znalosti, schopnosti a postoje,</w:t>
            </w:r>
          </w:p>
          <w:p w:rsidR="00000000" w:rsidDel="00000000" w:rsidP="00000000" w:rsidRDefault="00000000" w:rsidRPr="00000000" w14:paraId="0000007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porozumění: integrace nových a starých poznatků, porozumění komplexním situacím, porozumění vztahům a souvislostem, analýza a</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syntéza poznatků, práce s modely a zákonitostmi,</w:t>
            </w:r>
          </w:p>
          <w:p w:rsidR="00000000" w:rsidDel="00000000" w:rsidP="00000000" w:rsidRDefault="00000000" w:rsidRPr="00000000" w14:paraId="0000007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reflexe zkušenosti: reflexe vynaloženého úsilí, emočních a vztahových prožitků, postojů. </w:t>
            </w:r>
            <w:r w:rsidDel="00000000" w:rsidR="00000000" w:rsidRPr="00000000">
              <w:rPr>
                <w:rtl w:val="0"/>
              </w:rPr>
            </w:r>
          </w:p>
        </w:tc>
      </w:tr>
      <w:tr>
        <w:trPr>
          <w:cantSplit w:val="0"/>
          <w:trHeight w:val="48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5">
            <w:pPr>
              <w:spacing w:after="240" w:before="240" w:line="256" w:lineRule="auto"/>
              <w:rPr/>
            </w:pPr>
            <w:r w:rsidDel="00000000" w:rsidR="00000000" w:rsidRPr="00000000">
              <w:rPr>
                <w:b w:val="1"/>
                <w:rtl w:val="0"/>
              </w:rPr>
              <w:t xml:space="preserve">Doporučená studijní literatura, odkazy na ilustrační zdroje: </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6">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www.gykovy.cz/ucebnice</w:t>
              </w:r>
            </w:hyperlink>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7">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LMS Moodle</w:t>
              </w:r>
            </w:hyperlink>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8">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Google učebna </w:t>
              </w:r>
            </w:hyperlink>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1171" w:right="102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A">
            <w:pPr>
              <w:spacing w:after="240" w:before="240" w:line="256" w:lineRule="auto"/>
              <w:rPr>
                <w:b w:val="1"/>
              </w:rPr>
            </w:pPr>
            <w:r w:rsidDel="00000000" w:rsidR="00000000" w:rsidRPr="00000000">
              <w:rPr>
                <w:b w:val="1"/>
                <w:rtl w:val="0"/>
              </w:rPr>
              <w:t xml:space="preserve">Poznámky: </w:t>
            </w:r>
          </w:p>
          <w:p w:rsidR="00000000" w:rsidDel="00000000" w:rsidP="00000000" w:rsidRDefault="00000000" w:rsidRPr="00000000" w14:paraId="0000007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Důraz by měl být kladen na teoretické základy a logické odvozování.</w:t>
            </w:r>
          </w:p>
          <w:p w:rsidR="00000000" w:rsidDel="00000000" w:rsidP="00000000" w:rsidRDefault="00000000" w:rsidRPr="00000000" w14:paraId="0000007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 vhodné zařadit náročnější úlohy a problémy, které rozvíjejí abstraktní myšlení.</w:t>
            </w:r>
          </w:p>
          <w:p w:rsidR="00000000" w:rsidDel="00000000" w:rsidP="00000000" w:rsidRDefault="00000000" w:rsidRPr="00000000" w14:paraId="0000007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 vhodné využívat počítačové programy pro vizualizaci a řešení úloh.</w:t>
            </w:r>
          </w:p>
          <w:p w:rsidR="00000000" w:rsidDel="00000000" w:rsidP="00000000" w:rsidRDefault="00000000" w:rsidRPr="00000000" w14:paraId="0000007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 vhodné propojovat matematiku s jinými předměty, jako je fyzika, nebo informatika.</w:t>
            </w:r>
          </w:p>
          <w:p w:rsidR="00000000" w:rsidDel="00000000" w:rsidP="00000000" w:rsidRDefault="00000000" w:rsidRPr="00000000" w14:paraId="0000007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57" w:lineRule="auto"/>
              <w:ind w:left="924" w:right="851"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 nutné brát v potaz, že se jedná o přípravu na technické vysoké školy, kde je matematika nedílnou součástí studia.</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924" w:right="851"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1">
      <w:pPr>
        <w:spacing w:after="240" w:line="256" w:lineRule="auto"/>
        <w:ind w:left="420" w:firstLine="0"/>
        <w:rPr>
          <w:color w:val="ff0000"/>
          <w:sz w:val="44"/>
          <w:szCs w:val="44"/>
        </w:rPr>
      </w:pPr>
      <w:r w:rsidDel="00000000" w:rsidR="00000000" w:rsidRPr="00000000">
        <w:rPr>
          <w:sz w:val="36"/>
          <w:szCs w:val="36"/>
          <w:rtl w:val="0"/>
        </w:rPr>
        <w:t xml:space="preserve"> </w:t>
      </w:r>
      <w:r w:rsidDel="00000000" w:rsidR="00000000" w:rsidRPr="00000000">
        <w:rPr>
          <w:rtl w:val="0"/>
        </w:rPr>
      </w:r>
    </w:p>
    <w:sectPr>
      <w:headerReference r:id="rId9" w:type="default"/>
      <w:footerReference r:id="rId10" w:type="default"/>
      <w:footerReference r:id="rId11" w:type="even"/>
      <w:pgSz w:h="16837" w:w="11905" w:orient="portrait"/>
      <w:pgMar w:bottom="1418" w:top="1418" w:left="1418" w:right="1418" w:header="851" w:footer="85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818"/>
        <w:tab w:val="right" w:leader="none" w:pos="9637"/>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center" w:leader="none" w:pos="4818"/>
        <w:tab w:val="right" w:leader="none" w:pos="9637"/>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center" w:leader="none" w:pos="4818"/>
        <w:tab w:val="right" w:leader="none" w:pos="9637"/>
      </w:tabs>
      <w:jc w:val="center"/>
      <w:rPr>
        <w:color w:val="000000"/>
      </w:rPr>
    </w:pPr>
    <w:r w:rsidDel="00000000" w:rsidR="00000000" w:rsidRPr="00000000">
      <w:rPr>
        <w:rtl w:val="0"/>
      </w:rPr>
      <w:t xml:space="preserve">B04/</w:t>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center" w:leader="none" w:pos="4818"/>
        <w:tab w:val="right" w:leader="none" w:pos="9637"/>
      </w:tabs>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right" w:leader="none" w:pos="9072"/>
      </w:tabs>
      <w:spacing w:line="288" w:lineRule="auto"/>
      <w:rPr>
        <w:rFonts w:ascii="Tahoma" w:cs="Tahoma" w:eastAsia="Tahoma" w:hAnsi="Tahoma"/>
        <w:color w:val="ff0000"/>
        <w:sz w:val="20"/>
        <w:szCs w:val="20"/>
      </w:rPr>
    </w:pPr>
    <w:r w:rsidDel="00000000" w:rsidR="00000000" w:rsidRPr="00000000">
      <w:rPr>
        <w:rFonts w:ascii="Tahoma" w:cs="Tahoma" w:eastAsia="Tahoma" w:hAnsi="Tahoma"/>
        <w:color w:val="000000"/>
        <w:sz w:val="20"/>
        <w:szCs w:val="20"/>
        <w:rtl w:val="0"/>
      </w:rPr>
      <w:t xml:space="preserve">ŠVP </w:t>
    </w:r>
    <w:r w:rsidDel="00000000" w:rsidR="00000000" w:rsidRPr="00000000">
      <w:rPr>
        <w:rFonts w:ascii="Tahoma" w:cs="Tahoma" w:eastAsia="Tahoma" w:hAnsi="Tahoma"/>
        <w:sz w:val="20"/>
        <w:szCs w:val="20"/>
        <w:rtl w:val="0"/>
      </w:rPr>
      <w:t xml:space="preserve">Lyceum</w:t>
    </w:r>
    <w:r w:rsidDel="00000000" w:rsidR="00000000" w:rsidRPr="00000000">
      <w:rPr>
        <w:rFonts w:ascii="Tahoma" w:cs="Tahoma" w:eastAsia="Tahoma" w:hAnsi="Tahoma"/>
        <w:color w:val="000000"/>
        <w:sz w:val="20"/>
        <w:szCs w:val="20"/>
        <w:rtl w:val="0"/>
      </w:rPr>
      <w:tab/>
      <w:t xml:space="preserve">Svazek 2 – Učební osnovy </w:t>
    </w:r>
    <w:r w:rsidDel="00000000" w:rsidR="00000000" w:rsidRPr="00000000">
      <w:rPr>
        <w:rFonts w:ascii="Tahoma" w:cs="Tahoma" w:eastAsia="Tahoma" w:hAnsi="Tahoma"/>
        <w:sz w:val="20"/>
        <w:szCs w:val="20"/>
        <w:rtl w:val="0"/>
      </w:rPr>
      <w:t xml:space="preserve">Algebra a analýza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300" w:hanging="360"/>
      </w:pPr>
      <w:rPr>
        <w:rFonts w:ascii="Noto Sans Symbols" w:cs="Noto Sans Symbols" w:eastAsia="Noto Sans Symbols" w:hAnsi="Noto Sans Symbols"/>
      </w:rPr>
    </w:lvl>
    <w:lvl w:ilvl="1">
      <w:start w:val="1"/>
      <w:numFmt w:val="bullet"/>
      <w:lvlText w:val="o"/>
      <w:lvlJc w:val="left"/>
      <w:pPr>
        <w:ind w:left="3020" w:hanging="360"/>
      </w:pPr>
      <w:rPr>
        <w:rFonts w:ascii="Courier New" w:cs="Courier New" w:eastAsia="Courier New" w:hAnsi="Courier New"/>
      </w:rPr>
    </w:lvl>
    <w:lvl w:ilvl="2">
      <w:start w:val="1"/>
      <w:numFmt w:val="bullet"/>
      <w:lvlText w:val="▪"/>
      <w:lvlJc w:val="left"/>
      <w:pPr>
        <w:ind w:left="3740" w:hanging="360"/>
      </w:pPr>
      <w:rPr>
        <w:rFonts w:ascii="Noto Sans Symbols" w:cs="Noto Sans Symbols" w:eastAsia="Noto Sans Symbols" w:hAnsi="Noto Sans Symbols"/>
      </w:rPr>
    </w:lvl>
    <w:lvl w:ilvl="3">
      <w:start w:val="1"/>
      <w:numFmt w:val="bullet"/>
      <w:lvlText w:val="●"/>
      <w:lvlJc w:val="left"/>
      <w:pPr>
        <w:ind w:left="4460" w:hanging="360"/>
      </w:pPr>
      <w:rPr>
        <w:rFonts w:ascii="Noto Sans Symbols" w:cs="Noto Sans Symbols" w:eastAsia="Noto Sans Symbols" w:hAnsi="Noto Sans Symbols"/>
      </w:rPr>
    </w:lvl>
    <w:lvl w:ilvl="4">
      <w:start w:val="1"/>
      <w:numFmt w:val="bullet"/>
      <w:lvlText w:val="o"/>
      <w:lvlJc w:val="left"/>
      <w:pPr>
        <w:ind w:left="5180" w:hanging="360"/>
      </w:pPr>
      <w:rPr>
        <w:rFonts w:ascii="Courier New" w:cs="Courier New" w:eastAsia="Courier New" w:hAnsi="Courier New"/>
      </w:rPr>
    </w:lvl>
    <w:lvl w:ilvl="5">
      <w:start w:val="1"/>
      <w:numFmt w:val="bullet"/>
      <w:lvlText w:val="▪"/>
      <w:lvlJc w:val="left"/>
      <w:pPr>
        <w:ind w:left="5900" w:hanging="360"/>
      </w:pPr>
      <w:rPr>
        <w:rFonts w:ascii="Noto Sans Symbols" w:cs="Noto Sans Symbols" w:eastAsia="Noto Sans Symbols" w:hAnsi="Noto Sans Symbols"/>
      </w:rPr>
    </w:lvl>
    <w:lvl w:ilvl="6">
      <w:start w:val="1"/>
      <w:numFmt w:val="bullet"/>
      <w:lvlText w:val="●"/>
      <w:lvlJc w:val="left"/>
      <w:pPr>
        <w:ind w:left="6620" w:hanging="360"/>
      </w:pPr>
      <w:rPr>
        <w:rFonts w:ascii="Noto Sans Symbols" w:cs="Noto Sans Symbols" w:eastAsia="Noto Sans Symbols" w:hAnsi="Noto Sans Symbols"/>
      </w:rPr>
    </w:lvl>
    <w:lvl w:ilvl="7">
      <w:start w:val="1"/>
      <w:numFmt w:val="bullet"/>
      <w:lvlText w:val="o"/>
      <w:lvlJc w:val="left"/>
      <w:pPr>
        <w:ind w:left="7340" w:hanging="360"/>
      </w:pPr>
      <w:rPr>
        <w:rFonts w:ascii="Courier New" w:cs="Courier New" w:eastAsia="Courier New" w:hAnsi="Courier New"/>
      </w:rPr>
    </w:lvl>
    <w:lvl w:ilvl="8">
      <w:start w:val="1"/>
      <w:numFmt w:val="bullet"/>
      <w:lvlText w:val="▪"/>
      <w:lvlJc w:val="left"/>
      <w:pPr>
        <w:ind w:left="806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cs-CZ"/>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spacing w:after="120" w:before="240" w:lineRule="auto"/>
    </w:pPr>
    <w:rPr>
      <w:b w:val="1"/>
      <w:sz w:val="48"/>
      <w:szCs w:val="48"/>
    </w:rPr>
  </w:style>
  <w:style w:type="paragraph" w:styleId="Heading2">
    <w:name w:val="heading 2"/>
    <w:basedOn w:val="Normal"/>
    <w:next w:val="Normal"/>
    <w:pPr>
      <w:keepNext w:val="1"/>
      <w:spacing w:after="120" w:before="240" w:lineRule="auto"/>
    </w:pPr>
    <w:rPr>
      <w:b w:val="1"/>
      <w:sz w:val="36"/>
      <w:szCs w:val="36"/>
    </w:rPr>
  </w:style>
  <w:style w:type="paragraph" w:styleId="Heading3">
    <w:name w:val="heading 3"/>
    <w:basedOn w:val="Normal"/>
    <w:next w:val="Normal"/>
    <w:pPr>
      <w:keepNext w:val="1"/>
      <w:spacing w:after="120" w:before="240" w:lineRule="auto"/>
    </w:pPr>
    <w:rPr>
      <w:b w:val="1"/>
      <w:sz w:val="28"/>
      <w:szCs w:val="28"/>
    </w:rPr>
  </w:style>
  <w:style w:type="paragraph" w:styleId="Heading4">
    <w:name w:val="heading 4"/>
    <w:basedOn w:val="Normal"/>
    <w:next w:val="Normal"/>
    <w:pPr>
      <w:keepNext w:val="1"/>
      <w:spacing w:after="120" w:before="240" w:lineRule="auto"/>
    </w:pPr>
    <w:rPr>
      <w:b w:val="1"/>
    </w:rPr>
  </w:style>
  <w:style w:type="paragraph" w:styleId="Heading5">
    <w:name w:val="heading 5"/>
    <w:basedOn w:val="Normal"/>
    <w:next w:val="Normal"/>
    <w:pPr>
      <w:keepNext w:val="1"/>
      <w:spacing w:after="120" w:before="240" w:lineRule="auto"/>
    </w:pPr>
    <w:rPr>
      <w:b w:val="1"/>
      <w:sz w:val="20"/>
      <w:szCs w:val="20"/>
    </w:rPr>
  </w:style>
  <w:style w:type="paragraph" w:styleId="Heading6">
    <w:name w:val="heading 6"/>
    <w:basedOn w:val="Normal"/>
    <w:next w:val="Normal"/>
    <w:pPr>
      <w:keepNext w:val="1"/>
      <w:spacing w:after="120" w:before="240" w:lineRule="auto"/>
    </w:pPr>
    <w:rPr>
      <w:b w:val="1"/>
      <w:sz w:val="14"/>
      <w:szCs w:val="14"/>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gykovy.cz/ucebnice" TargetMode="External"/><Relationship Id="rId7" Type="http://schemas.openxmlformats.org/officeDocument/2006/relationships/hyperlink" Target="https://moodle.gykovy.cz/" TargetMode="External"/><Relationship Id="rId8" Type="http://schemas.openxmlformats.org/officeDocument/2006/relationships/hyperlink" Target="https://classroom.googl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